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A Sample of Ocean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Explanation: This design consists of an accent table top made up completely of human-generated waste embedded in epoxy. The epoxy mimicks water from the ocean and the trash represents itself.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Lesson: The lesson of this design is that Earth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oceans are being consumed by the continued production and disposing of waste products.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